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617A" w14:textId="77777777" w:rsidR="001275F5" w:rsidRPr="0075208D" w:rsidRDefault="001275F5" w:rsidP="001275F5">
      <w:pPr>
        <w:tabs>
          <w:tab w:val="right" w:pos="540"/>
        </w:tabs>
        <w:jc w:val="center"/>
        <w:rPr>
          <w:rFonts w:ascii="Arial" w:hAnsi="Arial" w:cs="Arial"/>
          <w:b/>
          <w:sz w:val="26"/>
          <w:szCs w:val="26"/>
        </w:rPr>
      </w:pPr>
      <w:bookmarkStart w:id="0" w:name="_GoBack"/>
      <w:bookmarkEnd w:id="0"/>
    </w:p>
    <w:p w14:paraId="635F4528" w14:textId="77777777" w:rsidR="00D41E82" w:rsidRPr="006F40BA" w:rsidRDefault="00D41E82" w:rsidP="008E50CB">
      <w:pPr>
        <w:pStyle w:val="Heading3"/>
        <w:spacing w:before="0"/>
        <w:rPr>
          <w:rFonts w:asciiTheme="minorHAnsi" w:hAnsiTheme="minorHAnsi" w:cstheme="minorHAnsi"/>
          <w:b/>
          <w:color w:val="auto"/>
        </w:rPr>
      </w:pPr>
      <w:r w:rsidRPr="006F40BA">
        <w:rPr>
          <w:rFonts w:asciiTheme="minorHAnsi" w:hAnsiTheme="minorHAnsi" w:cstheme="minorHAnsi"/>
          <w:b/>
          <w:color w:val="auto"/>
        </w:rPr>
        <w:t>IBC-43: UNMC IBC Policy on Use of Human and Nonhuman Primate Tissues, Cells, and Cell</w:t>
      </w:r>
      <w:r w:rsidR="006F40BA" w:rsidRPr="006F40BA">
        <w:rPr>
          <w:rFonts w:asciiTheme="minorHAnsi" w:hAnsiTheme="minorHAnsi" w:cstheme="minorHAnsi"/>
          <w:b/>
          <w:color w:val="auto"/>
        </w:rPr>
        <w:t xml:space="preserve"> Lines</w:t>
      </w:r>
    </w:p>
    <w:p w14:paraId="713A21A7" w14:textId="77777777" w:rsidR="0007780E" w:rsidRPr="00624ABD" w:rsidRDefault="0007780E" w:rsidP="00D41E82">
      <w:pPr>
        <w:rPr>
          <w:rFonts w:asciiTheme="minorHAnsi" w:hAnsiTheme="minorHAnsi" w:cstheme="minorHAnsi"/>
          <w:sz w:val="22"/>
          <w:szCs w:val="22"/>
        </w:rPr>
      </w:pPr>
    </w:p>
    <w:p w14:paraId="181D0102" w14:textId="77777777" w:rsidR="00D41E82" w:rsidRPr="00D41E82" w:rsidRDefault="00D41E82" w:rsidP="00D41E82">
      <w:pPr>
        <w:pStyle w:val="list-group-blue-orange"/>
        <w:spacing w:before="0" w:beforeAutospacing="0" w:after="0" w:afterAutospacing="0"/>
        <w:rPr>
          <w:rFonts w:asciiTheme="minorHAnsi" w:hAnsiTheme="minorHAnsi" w:cstheme="minorHAnsi"/>
          <w:sz w:val="22"/>
          <w:szCs w:val="22"/>
          <w:u w:val="single"/>
        </w:rPr>
      </w:pPr>
      <w:r w:rsidRPr="00D41E82">
        <w:rPr>
          <w:rStyle w:val="Strong"/>
          <w:rFonts w:asciiTheme="minorHAnsi" w:hAnsiTheme="minorHAnsi" w:cstheme="minorHAnsi"/>
          <w:sz w:val="22"/>
          <w:szCs w:val="22"/>
          <w:u w:val="single"/>
        </w:rPr>
        <w:t>Introduction</w:t>
      </w:r>
      <w:r w:rsidRPr="00D41E82">
        <w:rPr>
          <w:rFonts w:asciiTheme="minorHAnsi" w:hAnsiTheme="minorHAnsi" w:cstheme="minorHAnsi"/>
          <w:sz w:val="22"/>
          <w:szCs w:val="22"/>
          <w:u w:val="single"/>
        </w:rPr>
        <w:t xml:space="preserve"> </w:t>
      </w:r>
    </w:p>
    <w:p w14:paraId="2BBC690B" w14:textId="279B39E6" w:rsidR="00D41E82" w:rsidRPr="00D41E82" w:rsidRDefault="00D41E82" w:rsidP="00D41E82">
      <w:pPr>
        <w:pStyle w:val="list-group-blue-orange"/>
        <w:spacing w:before="0" w:beforeAutospacing="0" w:after="0" w:afterAutospacing="0"/>
        <w:rPr>
          <w:rFonts w:asciiTheme="minorHAnsi" w:hAnsiTheme="minorHAnsi" w:cstheme="minorHAnsi"/>
          <w:sz w:val="22"/>
          <w:szCs w:val="22"/>
        </w:rPr>
      </w:pPr>
      <w:r w:rsidRPr="00D41E82">
        <w:rPr>
          <w:rFonts w:asciiTheme="minorHAnsi" w:hAnsiTheme="minorHAnsi" w:cstheme="minorHAnsi"/>
          <w:sz w:val="22"/>
          <w:szCs w:val="22"/>
        </w:rPr>
        <w:t>Human and nonhuman primate (NHP)</w:t>
      </w:r>
      <w:r w:rsidR="00064480">
        <w:rPr>
          <w:rFonts w:asciiTheme="minorHAnsi" w:hAnsiTheme="minorHAnsi" w:cstheme="minorHAnsi"/>
          <w:sz w:val="22"/>
          <w:szCs w:val="22"/>
        </w:rPr>
        <w:t xml:space="preserve"> cells,</w:t>
      </w:r>
      <w:r w:rsidRPr="00D41E82">
        <w:rPr>
          <w:rFonts w:asciiTheme="minorHAnsi" w:hAnsiTheme="minorHAnsi" w:cstheme="minorHAnsi"/>
          <w:sz w:val="22"/>
          <w:szCs w:val="22"/>
        </w:rPr>
        <w:t xml:space="preserve"> cell lines</w:t>
      </w:r>
      <w:r w:rsidR="00064480">
        <w:rPr>
          <w:rFonts w:asciiTheme="minorHAnsi" w:hAnsiTheme="minorHAnsi" w:cstheme="minorHAnsi"/>
          <w:sz w:val="22"/>
          <w:szCs w:val="22"/>
        </w:rPr>
        <w:t>, and tissues</w:t>
      </w:r>
      <w:r w:rsidRPr="00D41E82">
        <w:rPr>
          <w:rFonts w:asciiTheme="minorHAnsi" w:hAnsiTheme="minorHAnsi" w:cstheme="minorHAnsi"/>
          <w:sz w:val="22"/>
          <w:szCs w:val="22"/>
        </w:rPr>
        <w:t xml:space="preserve"> are commonly used in biomedical research, yet appropriate biosafety requirements for handling these </w:t>
      </w:r>
      <w:r w:rsidR="005172BF">
        <w:rPr>
          <w:rFonts w:asciiTheme="minorHAnsi" w:hAnsiTheme="minorHAnsi" w:cstheme="minorHAnsi"/>
          <w:sz w:val="22"/>
          <w:szCs w:val="22"/>
        </w:rPr>
        <w:t xml:space="preserve">materials </w:t>
      </w:r>
      <w:r w:rsidRPr="00D41E82">
        <w:rPr>
          <w:rFonts w:asciiTheme="minorHAnsi" w:hAnsiTheme="minorHAnsi" w:cstheme="minorHAnsi"/>
          <w:sz w:val="22"/>
          <w:szCs w:val="22"/>
        </w:rPr>
        <w:t xml:space="preserve">are often subject to debate within the scientific community. </w:t>
      </w:r>
      <w:r w:rsidR="00064480">
        <w:rPr>
          <w:rFonts w:asciiTheme="minorHAnsi" w:hAnsiTheme="minorHAnsi" w:cstheme="minorHAnsi"/>
          <w:sz w:val="22"/>
          <w:szCs w:val="22"/>
        </w:rPr>
        <w:t>To</w:t>
      </w:r>
      <w:r w:rsidRPr="00D41E82">
        <w:rPr>
          <w:rFonts w:asciiTheme="minorHAnsi" w:hAnsiTheme="minorHAnsi" w:cstheme="minorHAnsi"/>
          <w:sz w:val="22"/>
          <w:szCs w:val="22"/>
        </w:rPr>
        <w:t xml:space="preserve"> clarify the University’s position on this matter, the UNMC Institutional Biosafety Committee (IBC) has created the following policy.</w:t>
      </w:r>
    </w:p>
    <w:p w14:paraId="76169120" w14:textId="77777777" w:rsidR="00D41E82" w:rsidRPr="00D41E82" w:rsidRDefault="00D41E82" w:rsidP="00D41E82">
      <w:pPr>
        <w:pStyle w:val="list-group-blue-orange"/>
        <w:spacing w:before="0" w:beforeAutospacing="0" w:after="0" w:afterAutospacing="0"/>
        <w:rPr>
          <w:rFonts w:asciiTheme="minorHAnsi" w:hAnsiTheme="minorHAnsi" w:cstheme="minorHAnsi"/>
          <w:sz w:val="22"/>
          <w:szCs w:val="22"/>
        </w:rPr>
      </w:pPr>
    </w:p>
    <w:p w14:paraId="5ACA796D" w14:textId="77777777" w:rsidR="00D41E82" w:rsidRPr="00D41E82" w:rsidRDefault="00D41E82" w:rsidP="00D41E82">
      <w:pPr>
        <w:pStyle w:val="Heading4"/>
        <w:spacing w:before="0"/>
        <w:rPr>
          <w:rFonts w:asciiTheme="minorHAnsi" w:hAnsiTheme="minorHAnsi" w:cstheme="minorHAnsi"/>
          <w:b/>
          <w:i w:val="0"/>
          <w:color w:val="auto"/>
          <w:sz w:val="22"/>
          <w:szCs w:val="22"/>
          <w:u w:val="single"/>
        </w:rPr>
      </w:pPr>
      <w:r w:rsidRPr="00D41E82">
        <w:rPr>
          <w:rFonts w:asciiTheme="minorHAnsi" w:hAnsiTheme="minorHAnsi" w:cstheme="minorHAnsi"/>
          <w:b/>
          <w:i w:val="0"/>
          <w:color w:val="auto"/>
          <w:sz w:val="22"/>
          <w:szCs w:val="22"/>
          <w:u w:val="single"/>
        </w:rPr>
        <w:t>Background</w:t>
      </w:r>
    </w:p>
    <w:p w14:paraId="24A12DBB" w14:textId="77777777" w:rsidR="00D41E82" w:rsidRPr="00D41E82" w:rsidRDefault="00D41E82" w:rsidP="00D41E82">
      <w:pPr>
        <w:pStyle w:val="list-group-blue-orange"/>
        <w:spacing w:before="0" w:beforeAutospacing="0" w:after="0" w:afterAutospacing="0"/>
        <w:rPr>
          <w:rFonts w:asciiTheme="minorHAnsi" w:hAnsiTheme="minorHAnsi" w:cstheme="minorHAnsi"/>
          <w:sz w:val="22"/>
          <w:szCs w:val="22"/>
        </w:rPr>
      </w:pPr>
      <w:r w:rsidRPr="00D41E82">
        <w:rPr>
          <w:rFonts w:asciiTheme="minorHAnsi" w:hAnsiTheme="minorHAnsi" w:cstheme="minorHAnsi"/>
          <w:sz w:val="22"/>
          <w:szCs w:val="22"/>
        </w:rPr>
        <w:t>In 1991, the Occupational Safety and Health Administration (OSHA) released the Bloodborne Pathogens (BBP) standard (</w:t>
      </w:r>
      <w:hyperlink r:id="rId8" w:history="1">
        <w:r w:rsidRPr="00D41E82">
          <w:rPr>
            <w:rStyle w:val="Hyperlink"/>
            <w:rFonts w:asciiTheme="minorHAnsi" w:hAnsiTheme="minorHAnsi" w:cstheme="minorHAnsi"/>
            <w:sz w:val="22"/>
            <w:szCs w:val="22"/>
          </w:rPr>
          <w:t>29 CFR 1910.1030</w:t>
        </w:r>
      </w:hyperlink>
      <w:r w:rsidRPr="00D41E82">
        <w:rPr>
          <w:rFonts w:asciiTheme="minorHAnsi" w:hAnsiTheme="minorHAnsi" w:cstheme="minorHAnsi"/>
          <w:sz w:val="22"/>
          <w:szCs w:val="22"/>
        </w:rPr>
        <w:t>). The intention of the standard is to protect employees who may have occupational exposure to human blood or other potentially infectious materials.  While human blood, most body fluids, unfixed human tissues and organs were clearly included within the scope and application of the standard, the inclusion of human cell lines was ambiguous.</w:t>
      </w:r>
    </w:p>
    <w:p w14:paraId="56641E52" w14:textId="77777777" w:rsidR="00D41E82" w:rsidRPr="00D41E82" w:rsidRDefault="00D41E82" w:rsidP="00D41E82">
      <w:pPr>
        <w:pStyle w:val="list-group-blue-orange"/>
        <w:spacing w:before="0" w:beforeAutospacing="0" w:after="0" w:afterAutospacing="0"/>
        <w:rPr>
          <w:rFonts w:asciiTheme="minorHAnsi" w:hAnsiTheme="minorHAnsi" w:cstheme="minorHAnsi"/>
          <w:sz w:val="22"/>
          <w:szCs w:val="22"/>
        </w:rPr>
      </w:pPr>
    </w:p>
    <w:p w14:paraId="59EC2341" w14:textId="679CFBBB" w:rsidR="00D41E82" w:rsidRPr="00D41E82" w:rsidRDefault="00D41E82" w:rsidP="00D41E82">
      <w:pPr>
        <w:pStyle w:val="list-group-blue-orange"/>
        <w:spacing w:before="0" w:beforeAutospacing="0" w:after="0" w:afterAutospacing="0"/>
        <w:rPr>
          <w:rFonts w:asciiTheme="minorHAnsi" w:hAnsiTheme="minorHAnsi" w:cstheme="minorHAnsi"/>
          <w:sz w:val="22"/>
          <w:szCs w:val="22"/>
        </w:rPr>
      </w:pPr>
      <w:r w:rsidRPr="00D41E82">
        <w:rPr>
          <w:rFonts w:asciiTheme="minorHAnsi" w:hAnsiTheme="minorHAnsi" w:cstheme="minorHAnsi"/>
          <w:sz w:val="22"/>
          <w:szCs w:val="22"/>
        </w:rPr>
        <w:t xml:space="preserve">In 1994, OSHA issued </w:t>
      </w:r>
      <w:r w:rsidRPr="00FC7B18">
        <w:rPr>
          <w:rFonts w:asciiTheme="minorHAnsi" w:hAnsiTheme="minorHAnsi" w:cstheme="minorHAnsi"/>
          <w:sz w:val="22"/>
          <w:szCs w:val="22"/>
        </w:rPr>
        <w:t xml:space="preserve">a </w:t>
      </w:r>
      <w:hyperlink r:id="rId9" w:history="1">
        <w:r w:rsidRPr="00FC7B18">
          <w:rPr>
            <w:rStyle w:val="Hyperlink"/>
            <w:rFonts w:asciiTheme="minorHAnsi" w:hAnsiTheme="minorHAnsi" w:cstheme="minorHAnsi"/>
            <w:sz w:val="22"/>
            <w:szCs w:val="22"/>
          </w:rPr>
          <w:t xml:space="preserve">letter of </w:t>
        </w:r>
        <w:r w:rsidR="00FC7B18" w:rsidRPr="00FC7B18">
          <w:rPr>
            <w:rStyle w:val="Hyperlink"/>
            <w:rFonts w:asciiTheme="minorHAnsi" w:hAnsiTheme="minorHAnsi" w:cstheme="minorHAnsi"/>
            <w:sz w:val="22"/>
            <w:szCs w:val="22"/>
          </w:rPr>
          <w:t>interpretation</w:t>
        </w:r>
      </w:hyperlink>
      <w:r w:rsidRPr="00FC7B18">
        <w:rPr>
          <w:rFonts w:asciiTheme="minorHAnsi" w:hAnsiTheme="minorHAnsi" w:cstheme="minorHAnsi"/>
          <w:sz w:val="22"/>
          <w:szCs w:val="22"/>
        </w:rPr>
        <w:t xml:space="preserve"> as to the </w:t>
      </w:r>
      <w:r w:rsidRPr="00D41E82">
        <w:rPr>
          <w:rFonts w:asciiTheme="minorHAnsi" w:hAnsiTheme="minorHAnsi" w:cstheme="minorHAnsi"/>
          <w:sz w:val="22"/>
          <w:szCs w:val="22"/>
        </w:rPr>
        <w:t xml:space="preserve">applicability of the BBP Standard towards human cell lines. According to the interpretation, human cell lines are considered to be potentially infectious and within the scope of the BBP Standard unless the specific cell line has been characterized to be free of hepatitis viruses, HIV, Epstein-Barr virus, papilloma viruses and other recognized bloodborne pathogens. In alignment with this interpretation, the American Type Culture Collection (ATCC) </w:t>
      </w:r>
      <w:hyperlink r:id="rId10" w:tgtFrame="_blank" w:history="1">
        <w:r w:rsidRPr="00D41E82">
          <w:rPr>
            <w:rStyle w:val="Hyperlink"/>
            <w:rFonts w:asciiTheme="minorHAnsi" w:hAnsiTheme="minorHAnsi" w:cstheme="minorHAnsi"/>
            <w:sz w:val="22"/>
            <w:szCs w:val="22"/>
          </w:rPr>
          <w:t>recommends</w:t>
        </w:r>
      </w:hyperlink>
      <w:r w:rsidRPr="00D41E82">
        <w:rPr>
          <w:rFonts w:asciiTheme="minorHAnsi" w:hAnsiTheme="minorHAnsi" w:cstheme="minorHAnsi"/>
          <w:sz w:val="22"/>
          <w:szCs w:val="22"/>
        </w:rPr>
        <w:t xml:space="preserve"> </w:t>
      </w:r>
      <w:r w:rsidR="006F40BA" w:rsidRPr="006F40BA">
        <w:rPr>
          <w:rFonts w:asciiTheme="minorHAnsi" w:hAnsiTheme="minorHAnsi" w:cstheme="minorHAnsi"/>
          <w:sz w:val="22"/>
          <w:szCs w:val="22"/>
        </w:rPr>
        <w:t xml:space="preserve">handling all </w:t>
      </w:r>
      <w:r w:rsidR="00E47C58">
        <w:rPr>
          <w:rFonts w:asciiTheme="minorHAnsi" w:hAnsiTheme="minorHAnsi" w:cstheme="minorHAnsi"/>
          <w:sz w:val="22"/>
          <w:szCs w:val="22"/>
        </w:rPr>
        <w:t xml:space="preserve">cell </w:t>
      </w:r>
      <w:r w:rsidR="006F40BA" w:rsidRPr="006F40BA">
        <w:rPr>
          <w:rFonts w:asciiTheme="minorHAnsi" w:hAnsiTheme="minorHAnsi" w:cstheme="minorHAnsi"/>
          <w:sz w:val="22"/>
          <w:szCs w:val="22"/>
        </w:rPr>
        <w:t xml:space="preserve">cultures under </w:t>
      </w:r>
      <w:r w:rsidR="00064480">
        <w:rPr>
          <w:rFonts w:asciiTheme="minorHAnsi" w:hAnsiTheme="minorHAnsi" w:cstheme="minorHAnsi"/>
          <w:sz w:val="22"/>
          <w:szCs w:val="22"/>
        </w:rPr>
        <w:t>Biosafety Level 2 (</w:t>
      </w:r>
      <w:r w:rsidR="006F40BA" w:rsidRPr="006F40BA">
        <w:rPr>
          <w:rFonts w:asciiTheme="minorHAnsi" w:hAnsiTheme="minorHAnsi" w:cstheme="minorHAnsi"/>
          <w:sz w:val="22"/>
          <w:szCs w:val="22"/>
        </w:rPr>
        <w:t>BSL 2</w:t>
      </w:r>
      <w:r w:rsidR="00064480">
        <w:rPr>
          <w:rFonts w:asciiTheme="minorHAnsi" w:hAnsiTheme="minorHAnsi" w:cstheme="minorHAnsi"/>
          <w:sz w:val="22"/>
          <w:szCs w:val="22"/>
        </w:rPr>
        <w:t>)</w:t>
      </w:r>
      <w:r w:rsidR="006F40BA" w:rsidRPr="006F40BA">
        <w:rPr>
          <w:rFonts w:asciiTheme="minorHAnsi" w:hAnsiTheme="minorHAnsi" w:cstheme="minorHAnsi"/>
          <w:sz w:val="22"/>
          <w:szCs w:val="22"/>
        </w:rPr>
        <w:t xml:space="preserve"> conditions</w:t>
      </w:r>
      <w:r w:rsidR="006F40BA">
        <w:rPr>
          <w:rFonts w:asciiTheme="minorHAnsi" w:hAnsiTheme="minorHAnsi" w:cstheme="minorHAnsi"/>
          <w:sz w:val="22"/>
          <w:szCs w:val="22"/>
        </w:rPr>
        <w:t xml:space="preserve"> since cell lines cannot be tested for all viruses</w:t>
      </w:r>
      <w:r w:rsidRPr="00D41E82">
        <w:rPr>
          <w:rFonts w:asciiTheme="minorHAnsi" w:hAnsiTheme="minorHAnsi" w:cstheme="minorHAnsi"/>
          <w:sz w:val="22"/>
          <w:szCs w:val="22"/>
        </w:rPr>
        <w:t xml:space="preserve">. Moreover, the CDC publication, </w:t>
      </w:r>
      <w:r w:rsidRPr="00D41E82">
        <w:rPr>
          <w:rStyle w:val="Emphasis"/>
          <w:rFonts w:asciiTheme="minorHAnsi" w:hAnsiTheme="minorHAnsi" w:cstheme="minorHAnsi"/>
          <w:sz w:val="22"/>
          <w:szCs w:val="22"/>
        </w:rPr>
        <w:t>Biosafety in Microbiological and Biomedical Laboratories, 5</w:t>
      </w:r>
      <w:r w:rsidRPr="00D41E82">
        <w:rPr>
          <w:rStyle w:val="Emphasis"/>
          <w:rFonts w:asciiTheme="minorHAnsi" w:hAnsiTheme="minorHAnsi" w:cstheme="minorHAnsi"/>
          <w:sz w:val="22"/>
          <w:szCs w:val="22"/>
          <w:vertAlign w:val="superscript"/>
        </w:rPr>
        <w:t>th</w:t>
      </w:r>
      <w:r w:rsidRPr="00D41E82">
        <w:rPr>
          <w:rStyle w:val="Emphasis"/>
          <w:rFonts w:asciiTheme="minorHAnsi" w:hAnsiTheme="minorHAnsi" w:cstheme="minorHAnsi"/>
          <w:sz w:val="22"/>
          <w:szCs w:val="22"/>
        </w:rPr>
        <w:t xml:space="preserve"> Edition</w:t>
      </w:r>
      <w:r w:rsidRPr="00D41E82">
        <w:rPr>
          <w:rFonts w:asciiTheme="minorHAnsi" w:hAnsiTheme="minorHAnsi" w:cstheme="minorHAnsi"/>
          <w:sz w:val="22"/>
          <w:szCs w:val="22"/>
        </w:rPr>
        <w:t xml:space="preserve"> (</w:t>
      </w:r>
      <w:hyperlink r:id="rId11" w:tgtFrame="_blank" w:history="1">
        <w:r w:rsidRPr="00D41E82">
          <w:rPr>
            <w:rStyle w:val="Hyperlink"/>
            <w:rFonts w:asciiTheme="minorHAnsi" w:hAnsiTheme="minorHAnsi" w:cstheme="minorHAnsi"/>
            <w:sz w:val="22"/>
            <w:szCs w:val="22"/>
          </w:rPr>
          <w:t>BMBL</w:t>
        </w:r>
      </w:hyperlink>
      <w:r w:rsidRPr="00D41E82">
        <w:rPr>
          <w:rFonts w:asciiTheme="minorHAnsi" w:hAnsiTheme="minorHAnsi" w:cstheme="minorHAnsi"/>
          <w:sz w:val="22"/>
          <w:szCs w:val="22"/>
        </w:rPr>
        <w:t>), recommends that human and other primate cells should be handled using BSL-2 practices and containment.</w:t>
      </w:r>
    </w:p>
    <w:p w14:paraId="53114AEE" w14:textId="77777777" w:rsidR="00D41E82" w:rsidRPr="00D41E82" w:rsidRDefault="00D41E82" w:rsidP="00D41E82">
      <w:pPr>
        <w:pStyle w:val="list-group-blue-orange"/>
        <w:spacing w:before="0" w:beforeAutospacing="0" w:after="0" w:afterAutospacing="0"/>
        <w:rPr>
          <w:rFonts w:asciiTheme="minorHAnsi" w:hAnsiTheme="minorHAnsi" w:cstheme="minorHAnsi"/>
          <w:sz w:val="22"/>
          <w:szCs w:val="22"/>
        </w:rPr>
      </w:pPr>
    </w:p>
    <w:p w14:paraId="59746FE4" w14:textId="77777777" w:rsidR="00D41E82" w:rsidRPr="00D41E82" w:rsidRDefault="00D41E82" w:rsidP="00D41E82">
      <w:pPr>
        <w:rPr>
          <w:rFonts w:asciiTheme="minorHAnsi" w:hAnsiTheme="minorHAnsi" w:cstheme="minorHAnsi"/>
          <w:b/>
          <w:bCs/>
          <w:sz w:val="22"/>
          <w:szCs w:val="22"/>
          <w:u w:val="single"/>
        </w:rPr>
      </w:pPr>
      <w:r w:rsidRPr="00D41E82">
        <w:rPr>
          <w:rFonts w:asciiTheme="minorHAnsi" w:hAnsiTheme="minorHAnsi" w:cstheme="minorHAnsi"/>
          <w:b/>
          <w:bCs/>
          <w:sz w:val="22"/>
          <w:szCs w:val="22"/>
          <w:u w:val="single"/>
        </w:rPr>
        <w:t>Policy</w:t>
      </w:r>
    </w:p>
    <w:p w14:paraId="62F55917" w14:textId="68CF8386" w:rsidR="00D41E82" w:rsidRPr="00D41E82" w:rsidRDefault="00D41E82" w:rsidP="00D41E82">
      <w:pPr>
        <w:pStyle w:val="list-group-blue-orange"/>
        <w:spacing w:before="0" w:beforeAutospacing="0" w:after="0" w:afterAutospacing="0"/>
        <w:rPr>
          <w:rFonts w:asciiTheme="minorHAnsi" w:hAnsiTheme="minorHAnsi" w:cstheme="minorHAnsi"/>
          <w:sz w:val="22"/>
          <w:szCs w:val="22"/>
        </w:rPr>
      </w:pPr>
      <w:r w:rsidRPr="00D41E82">
        <w:rPr>
          <w:rFonts w:asciiTheme="minorHAnsi" w:hAnsiTheme="minorHAnsi" w:cstheme="minorHAnsi"/>
          <w:sz w:val="22"/>
          <w:szCs w:val="22"/>
        </w:rPr>
        <w:t xml:space="preserve">In consideration of the aforementioned regulatory interpretation, consensus guidelines, and other factors, the UNMC </w:t>
      </w:r>
      <w:r w:rsidR="00064480">
        <w:rPr>
          <w:rFonts w:asciiTheme="minorHAnsi" w:hAnsiTheme="minorHAnsi" w:cstheme="minorHAnsi"/>
          <w:sz w:val="22"/>
          <w:szCs w:val="22"/>
        </w:rPr>
        <w:t>IBC</w:t>
      </w:r>
      <w:r w:rsidRPr="00D41E82">
        <w:rPr>
          <w:rFonts w:asciiTheme="minorHAnsi" w:hAnsiTheme="minorHAnsi" w:cstheme="minorHAnsi"/>
          <w:sz w:val="22"/>
          <w:szCs w:val="22"/>
        </w:rPr>
        <w:t xml:space="preserve"> has adopted the following policy:</w:t>
      </w:r>
    </w:p>
    <w:p w14:paraId="7967AA55" w14:textId="77777777" w:rsidR="00D41E82" w:rsidRPr="00D41E82" w:rsidRDefault="00D41E82" w:rsidP="00D41E82">
      <w:pPr>
        <w:pStyle w:val="list-group-blue-orange"/>
        <w:spacing w:before="0" w:beforeAutospacing="0" w:after="0" w:afterAutospacing="0"/>
        <w:rPr>
          <w:rFonts w:asciiTheme="minorHAnsi" w:hAnsiTheme="minorHAnsi" w:cstheme="minorHAnsi"/>
          <w:sz w:val="22"/>
          <w:szCs w:val="22"/>
        </w:rPr>
      </w:pPr>
    </w:p>
    <w:p w14:paraId="18FE7D10" w14:textId="64914818" w:rsidR="00D41E82" w:rsidRPr="00D41E82" w:rsidRDefault="00D41E82" w:rsidP="00D41E82">
      <w:pPr>
        <w:pStyle w:val="list-group-blue-orange"/>
        <w:spacing w:before="0" w:beforeAutospacing="0" w:after="0" w:afterAutospacing="0"/>
        <w:rPr>
          <w:rFonts w:asciiTheme="minorHAnsi" w:hAnsiTheme="minorHAnsi" w:cstheme="minorHAnsi"/>
          <w:b/>
          <w:bCs/>
          <w:sz w:val="22"/>
          <w:szCs w:val="22"/>
        </w:rPr>
      </w:pPr>
      <w:r w:rsidRPr="00D41E82">
        <w:rPr>
          <w:rFonts w:asciiTheme="minorHAnsi" w:hAnsiTheme="minorHAnsi" w:cstheme="minorHAnsi"/>
          <w:b/>
          <w:sz w:val="22"/>
          <w:szCs w:val="22"/>
        </w:rPr>
        <w:t>All human</w:t>
      </w:r>
      <w:r w:rsidR="006E6F4A">
        <w:rPr>
          <w:rFonts w:asciiTheme="minorHAnsi" w:hAnsiTheme="minorHAnsi" w:cstheme="minorHAnsi"/>
          <w:b/>
          <w:sz w:val="22"/>
          <w:szCs w:val="22"/>
        </w:rPr>
        <w:t xml:space="preserve"> </w:t>
      </w:r>
      <w:r w:rsidRPr="00D41E82">
        <w:rPr>
          <w:rFonts w:asciiTheme="minorHAnsi" w:hAnsiTheme="minorHAnsi" w:cstheme="minorHAnsi"/>
          <w:b/>
          <w:sz w:val="22"/>
          <w:szCs w:val="22"/>
        </w:rPr>
        <w:t>and NHP</w:t>
      </w:r>
      <w:r w:rsidR="006E6F4A">
        <w:rPr>
          <w:rFonts w:asciiTheme="minorHAnsi" w:hAnsiTheme="minorHAnsi" w:cstheme="minorHAnsi"/>
          <w:b/>
          <w:sz w:val="22"/>
          <w:szCs w:val="22"/>
        </w:rPr>
        <w:t xml:space="preserve"> </w:t>
      </w:r>
      <w:r w:rsidRPr="00D41E82">
        <w:rPr>
          <w:rFonts w:asciiTheme="minorHAnsi" w:hAnsiTheme="minorHAnsi" w:cstheme="minorHAnsi"/>
          <w:b/>
          <w:sz w:val="22"/>
          <w:szCs w:val="22"/>
        </w:rPr>
        <w:t xml:space="preserve">derived materials (including tissues, cells, and cell lines) must be handled in </w:t>
      </w:r>
      <w:r w:rsidRPr="00D41E82">
        <w:rPr>
          <w:rFonts w:asciiTheme="minorHAnsi" w:hAnsiTheme="minorHAnsi" w:cstheme="minorHAnsi"/>
          <w:b/>
          <w:bCs/>
          <w:sz w:val="22"/>
          <w:szCs w:val="22"/>
        </w:rPr>
        <w:t>accordance with the OSHA Bloodborne Pathogens Standard and under</w:t>
      </w:r>
      <w:r w:rsidR="00AA3502">
        <w:rPr>
          <w:rFonts w:asciiTheme="minorHAnsi" w:hAnsiTheme="minorHAnsi" w:cstheme="minorHAnsi"/>
          <w:b/>
          <w:bCs/>
          <w:sz w:val="22"/>
          <w:szCs w:val="22"/>
        </w:rPr>
        <w:t xml:space="preserve"> </w:t>
      </w:r>
      <w:r w:rsidR="00064480">
        <w:rPr>
          <w:rFonts w:asciiTheme="minorHAnsi" w:hAnsiTheme="minorHAnsi" w:cstheme="minorHAnsi"/>
          <w:b/>
          <w:bCs/>
          <w:sz w:val="22"/>
          <w:szCs w:val="22"/>
        </w:rPr>
        <w:t>BSL-2</w:t>
      </w:r>
      <w:r w:rsidRPr="00D41E82">
        <w:rPr>
          <w:rFonts w:asciiTheme="minorHAnsi" w:hAnsiTheme="minorHAnsi" w:cstheme="minorHAnsi"/>
          <w:b/>
          <w:bCs/>
          <w:sz w:val="22"/>
          <w:szCs w:val="22"/>
        </w:rPr>
        <w:t xml:space="preserve"> containment. </w:t>
      </w:r>
      <w:r w:rsidR="00064480">
        <w:rPr>
          <w:rFonts w:asciiTheme="minorHAnsi" w:hAnsiTheme="minorHAnsi" w:cstheme="minorHAnsi"/>
          <w:b/>
          <w:bCs/>
          <w:sz w:val="22"/>
          <w:szCs w:val="22"/>
        </w:rPr>
        <w:t>Animal Biosafety Level 2</w:t>
      </w:r>
      <w:r w:rsidR="00AA3502">
        <w:rPr>
          <w:rFonts w:asciiTheme="minorHAnsi" w:hAnsiTheme="minorHAnsi" w:cstheme="minorHAnsi"/>
          <w:b/>
          <w:bCs/>
          <w:sz w:val="22"/>
          <w:szCs w:val="22"/>
        </w:rPr>
        <w:t xml:space="preserve"> (ABSL-2)</w:t>
      </w:r>
      <w:r w:rsidR="00064480">
        <w:rPr>
          <w:rFonts w:asciiTheme="minorHAnsi" w:hAnsiTheme="minorHAnsi" w:cstheme="minorHAnsi"/>
          <w:b/>
          <w:bCs/>
          <w:sz w:val="22"/>
          <w:szCs w:val="22"/>
        </w:rPr>
        <w:t xml:space="preserve"> </w:t>
      </w:r>
      <w:r w:rsidRPr="00D41E82">
        <w:rPr>
          <w:rFonts w:asciiTheme="minorHAnsi" w:hAnsiTheme="minorHAnsi" w:cstheme="minorHAnsi"/>
          <w:b/>
          <w:bCs/>
          <w:sz w:val="22"/>
          <w:szCs w:val="22"/>
        </w:rPr>
        <w:t xml:space="preserve">containment and practices </w:t>
      </w:r>
      <w:r w:rsidR="007040A8">
        <w:rPr>
          <w:rFonts w:asciiTheme="minorHAnsi" w:hAnsiTheme="minorHAnsi" w:cstheme="minorHAnsi"/>
          <w:b/>
          <w:bCs/>
          <w:sz w:val="22"/>
          <w:szCs w:val="22"/>
        </w:rPr>
        <w:t>may be required</w:t>
      </w:r>
      <w:r w:rsidRPr="00D41E82">
        <w:rPr>
          <w:rFonts w:asciiTheme="minorHAnsi" w:hAnsiTheme="minorHAnsi" w:cstheme="minorHAnsi"/>
          <w:b/>
          <w:bCs/>
          <w:sz w:val="22"/>
          <w:szCs w:val="22"/>
        </w:rPr>
        <w:t xml:space="preserve"> when these materials are used in animal experiments. </w:t>
      </w:r>
    </w:p>
    <w:p w14:paraId="76107DCA" w14:textId="77777777" w:rsidR="00D41E82" w:rsidRPr="00D41E82" w:rsidRDefault="00D41E82" w:rsidP="00D41E82">
      <w:pPr>
        <w:pStyle w:val="list-group-blue-orange"/>
        <w:spacing w:before="0" w:beforeAutospacing="0" w:after="0" w:afterAutospacing="0"/>
        <w:rPr>
          <w:rFonts w:asciiTheme="minorHAnsi" w:hAnsiTheme="minorHAnsi" w:cstheme="minorHAnsi"/>
          <w:b/>
          <w:sz w:val="22"/>
          <w:szCs w:val="22"/>
        </w:rPr>
      </w:pPr>
    </w:p>
    <w:p w14:paraId="71B6AA50" w14:textId="09090785" w:rsidR="00D41E82" w:rsidRPr="00D41E82" w:rsidRDefault="00D41E82" w:rsidP="00D41E82">
      <w:pPr>
        <w:pStyle w:val="list-group-blue-orange"/>
        <w:spacing w:before="0" w:beforeAutospacing="0" w:after="0" w:afterAutospacing="0"/>
        <w:rPr>
          <w:rFonts w:asciiTheme="minorHAnsi" w:hAnsiTheme="minorHAnsi" w:cstheme="minorHAnsi"/>
          <w:sz w:val="22"/>
          <w:szCs w:val="22"/>
        </w:rPr>
      </w:pPr>
      <w:r w:rsidRPr="00D41E82">
        <w:rPr>
          <w:rFonts w:asciiTheme="minorHAnsi" w:hAnsiTheme="minorHAnsi" w:cstheme="minorHAnsi"/>
          <w:sz w:val="22"/>
          <w:szCs w:val="22"/>
        </w:rPr>
        <w:t>Certain well-established human cell lines may be eligible for an exemption from this policy and therefore may be downgraded to BSL</w:t>
      </w:r>
      <w:r w:rsidR="00E47C58">
        <w:rPr>
          <w:rFonts w:asciiTheme="minorHAnsi" w:hAnsiTheme="minorHAnsi" w:cstheme="minorHAnsi"/>
          <w:sz w:val="22"/>
          <w:szCs w:val="22"/>
        </w:rPr>
        <w:t>-</w:t>
      </w:r>
      <w:r w:rsidRPr="00D41E82">
        <w:rPr>
          <w:rFonts w:asciiTheme="minorHAnsi" w:hAnsiTheme="minorHAnsi" w:cstheme="minorHAnsi"/>
          <w:sz w:val="22"/>
          <w:szCs w:val="22"/>
        </w:rPr>
        <w:t>1 containment and practices for cell culture experiments and ABSL</w:t>
      </w:r>
      <w:r w:rsidR="005172BF">
        <w:rPr>
          <w:rFonts w:asciiTheme="minorHAnsi" w:hAnsiTheme="minorHAnsi" w:cstheme="minorHAnsi"/>
          <w:sz w:val="22"/>
          <w:szCs w:val="22"/>
        </w:rPr>
        <w:t>-</w:t>
      </w:r>
      <w:r w:rsidRPr="00D41E82">
        <w:rPr>
          <w:rFonts w:asciiTheme="minorHAnsi" w:hAnsiTheme="minorHAnsi" w:cstheme="minorHAnsi"/>
          <w:sz w:val="22"/>
          <w:szCs w:val="22"/>
        </w:rPr>
        <w:t>1 containment and practices when used in animals if the following criteria are met:</w:t>
      </w:r>
    </w:p>
    <w:p w14:paraId="07B0A9B0" w14:textId="77777777" w:rsidR="00D41E82" w:rsidRPr="00D41E82" w:rsidRDefault="00D41E82" w:rsidP="00D41E82">
      <w:pPr>
        <w:pStyle w:val="list-group-blue-orange"/>
        <w:spacing w:before="0" w:beforeAutospacing="0" w:after="0" w:afterAutospacing="0"/>
        <w:rPr>
          <w:rFonts w:asciiTheme="minorHAnsi" w:hAnsiTheme="minorHAnsi" w:cstheme="minorHAnsi"/>
          <w:sz w:val="22"/>
          <w:szCs w:val="22"/>
        </w:rPr>
      </w:pPr>
    </w:p>
    <w:p w14:paraId="1F6A8AB3" w14:textId="77777777" w:rsidR="00D41E82" w:rsidRDefault="003566B6" w:rsidP="00E47C58">
      <w:pPr>
        <w:pStyle w:val="ListParagraph"/>
        <w:numPr>
          <w:ilvl w:val="0"/>
          <w:numId w:val="9"/>
        </w:numPr>
        <w:spacing w:after="0" w:line="240" w:lineRule="auto"/>
        <w:rPr>
          <w:rFonts w:eastAsia="Times New Roman" w:cstheme="minorHAnsi"/>
        </w:rPr>
      </w:pPr>
      <w:r>
        <w:rPr>
          <w:rFonts w:eastAsia="Times New Roman" w:cstheme="minorHAnsi"/>
        </w:rPr>
        <w:t>B</w:t>
      </w:r>
      <w:r w:rsidR="00E47C58" w:rsidRPr="00E47C58">
        <w:rPr>
          <w:rFonts w:eastAsia="Times New Roman" w:cstheme="minorHAnsi"/>
        </w:rPr>
        <w:t>loodborne pathogen</w:t>
      </w:r>
      <w:r>
        <w:rPr>
          <w:rFonts w:eastAsia="Times New Roman" w:cstheme="minorHAnsi"/>
        </w:rPr>
        <w:t xml:space="preserve"> screening documentation</w:t>
      </w:r>
      <w:r w:rsidR="00E47C58">
        <w:rPr>
          <w:rFonts w:eastAsia="Times New Roman" w:cstheme="minorHAnsi"/>
        </w:rPr>
        <w:t xml:space="preserve"> is</w:t>
      </w:r>
      <w:r w:rsidR="00D41E82" w:rsidRPr="00D41E82">
        <w:rPr>
          <w:rFonts w:eastAsia="Times New Roman" w:cstheme="minorHAnsi"/>
        </w:rPr>
        <w:t xml:space="preserve"> </w:t>
      </w:r>
      <w:r w:rsidR="004060C0">
        <w:rPr>
          <w:rFonts w:eastAsia="Times New Roman" w:cstheme="minorHAnsi"/>
        </w:rPr>
        <w:t>submitted</w:t>
      </w:r>
      <w:r w:rsidR="00D41E82" w:rsidRPr="00D41E82">
        <w:rPr>
          <w:rFonts w:eastAsia="Times New Roman" w:cstheme="minorHAnsi"/>
        </w:rPr>
        <w:t xml:space="preserve"> to the </w:t>
      </w:r>
      <w:r w:rsidR="00E47C58">
        <w:rPr>
          <w:rFonts w:eastAsia="Times New Roman" w:cstheme="minorHAnsi"/>
        </w:rPr>
        <w:t>IBC</w:t>
      </w:r>
      <w:r w:rsidR="00D41E82" w:rsidRPr="00D41E82">
        <w:rPr>
          <w:rFonts w:eastAsia="Times New Roman" w:cstheme="minorHAnsi"/>
        </w:rPr>
        <w:t xml:space="preserve">. </w:t>
      </w:r>
    </w:p>
    <w:p w14:paraId="5557ACA0" w14:textId="77777777" w:rsidR="006E6F4A" w:rsidRPr="006E6F4A" w:rsidRDefault="006E6F4A" w:rsidP="006E6F4A">
      <w:pPr>
        <w:ind w:left="720"/>
        <w:rPr>
          <w:rFonts w:cstheme="minorHAnsi"/>
          <w:sz w:val="16"/>
          <w:szCs w:val="16"/>
        </w:rPr>
      </w:pPr>
    </w:p>
    <w:p w14:paraId="1F86476D" w14:textId="77777777" w:rsidR="00D41E82" w:rsidRPr="00D41E82" w:rsidRDefault="00D41E82" w:rsidP="00D41E82">
      <w:pPr>
        <w:pStyle w:val="list-group-blue-orange"/>
        <w:numPr>
          <w:ilvl w:val="0"/>
          <w:numId w:val="9"/>
        </w:numPr>
        <w:spacing w:before="0" w:beforeAutospacing="0" w:after="0" w:afterAutospacing="0"/>
        <w:rPr>
          <w:rFonts w:asciiTheme="minorHAnsi" w:hAnsiTheme="minorHAnsi" w:cstheme="minorHAnsi"/>
          <w:sz w:val="22"/>
          <w:szCs w:val="22"/>
        </w:rPr>
      </w:pPr>
      <w:r w:rsidRPr="00D41E82">
        <w:rPr>
          <w:rFonts w:asciiTheme="minorHAnsi" w:hAnsiTheme="minorHAnsi" w:cstheme="minorHAnsi"/>
          <w:sz w:val="22"/>
          <w:szCs w:val="22"/>
        </w:rPr>
        <w:t>There is an extremely low possibility of the cells being exposed to other pathogens/biological materials that could result in contamination of the cell line (i.e., there may not be any other BSL2 or higher materials or cells handled in the same facility).</w:t>
      </w:r>
    </w:p>
    <w:p w14:paraId="7D6ED724" w14:textId="77777777" w:rsidR="00D41E82" w:rsidRPr="00D41E82" w:rsidRDefault="00D41E82" w:rsidP="00D41E82">
      <w:pPr>
        <w:pStyle w:val="list-group-blue-orange"/>
        <w:spacing w:before="0" w:beforeAutospacing="0" w:after="0" w:afterAutospacing="0"/>
        <w:ind w:left="720"/>
        <w:rPr>
          <w:rFonts w:asciiTheme="minorHAnsi" w:hAnsiTheme="minorHAnsi" w:cstheme="minorHAnsi"/>
          <w:sz w:val="22"/>
          <w:szCs w:val="22"/>
        </w:rPr>
      </w:pPr>
    </w:p>
    <w:p w14:paraId="5A24DEE8" w14:textId="2FE770E7" w:rsidR="00AA3502" w:rsidRDefault="00D41E82" w:rsidP="00D41E82">
      <w:pPr>
        <w:rPr>
          <w:rFonts w:asciiTheme="minorHAnsi" w:hAnsiTheme="minorHAnsi" w:cstheme="minorHAnsi"/>
          <w:sz w:val="22"/>
          <w:szCs w:val="22"/>
        </w:rPr>
      </w:pPr>
      <w:r w:rsidRPr="00D41E82">
        <w:rPr>
          <w:rFonts w:asciiTheme="minorHAnsi" w:hAnsiTheme="minorHAnsi" w:cstheme="minorHAnsi"/>
          <w:sz w:val="22"/>
          <w:szCs w:val="22"/>
        </w:rPr>
        <w:t xml:space="preserve">All requests for an exemption to this policy must be reviewed and approved by the IBC prior to downgrading </w:t>
      </w:r>
      <w:r w:rsidR="00064480">
        <w:rPr>
          <w:rFonts w:asciiTheme="minorHAnsi" w:hAnsiTheme="minorHAnsi" w:cstheme="minorHAnsi"/>
          <w:sz w:val="22"/>
          <w:szCs w:val="22"/>
        </w:rPr>
        <w:t>work with human</w:t>
      </w:r>
      <w:r w:rsidRPr="00D41E82">
        <w:rPr>
          <w:rFonts w:asciiTheme="minorHAnsi" w:hAnsiTheme="minorHAnsi" w:cstheme="minorHAnsi"/>
          <w:sz w:val="22"/>
          <w:szCs w:val="22"/>
        </w:rPr>
        <w:t xml:space="preserve"> cell</w:t>
      </w:r>
      <w:r w:rsidR="00064480">
        <w:rPr>
          <w:rFonts w:asciiTheme="minorHAnsi" w:hAnsiTheme="minorHAnsi" w:cstheme="minorHAnsi"/>
          <w:sz w:val="22"/>
          <w:szCs w:val="22"/>
        </w:rPr>
        <w:t xml:space="preserve"> lines</w:t>
      </w:r>
      <w:r w:rsidRPr="00D41E82">
        <w:rPr>
          <w:rFonts w:asciiTheme="minorHAnsi" w:hAnsiTheme="minorHAnsi" w:cstheme="minorHAnsi"/>
          <w:sz w:val="22"/>
          <w:szCs w:val="22"/>
        </w:rPr>
        <w:t xml:space="preserve"> to BSL</w:t>
      </w:r>
      <w:r w:rsidR="00E47C58">
        <w:rPr>
          <w:rFonts w:asciiTheme="minorHAnsi" w:hAnsiTheme="minorHAnsi" w:cstheme="minorHAnsi"/>
          <w:sz w:val="22"/>
          <w:szCs w:val="22"/>
        </w:rPr>
        <w:t>-</w:t>
      </w:r>
      <w:r w:rsidRPr="00D41E82">
        <w:rPr>
          <w:rFonts w:asciiTheme="minorHAnsi" w:hAnsiTheme="minorHAnsi" w:cstheme="minorHAnsi"/>
          <w:sz w:val="22"/>
          <w:szCs w:val="22"/>
        </w:rPr>
        <w:t>1.</w:t>
      </w:r>
      <w:r w:rsidR="00064480">
        <w:rPr>
          <w:rFonts w:asciiTheme="minorHAnsi" w:hAnsiTheme="minorHAnsi" w:cstheme="minorHAnsi"/>
          <w:sz w:val="22"/>
          <w:szCs w:val="22"/>
        </w:rPr>
        <w:t xml:space="preserve">  </w:t>
      </w:r>
      <w:r w:rsidR="008710A9" w:rsidRPr="00FC7B18">
        <w:rPr>
          <w:rFonts w:asciiTheme="minorHAnsi" w:hAnsiTheme="minorHAnsi" w:cstheme="minorHAnsi"/>
          <w:sz w:val="22"/>
          <w:szCs w:val="22"/>
        </w:rPr>
        <w:t>Research involving</w:t>
      </w:r>
      <w:r w:rsidR="001559EB" w:rsidRPr="00FC7B18">
        <w:rPr>
          <w:rFonts w:asciiTheme="minorHAnsi" w:hAnsiTheme="minorHAnsi" w:cstheme="minorHAnsi"/>
          <w:sz w:val="22"/>
          <w:szCs w:val="22"/>
        </w:rPr>
        <w:t xml:space="preserve"> NHP-derived materials and human-derived primary cells and tissue requires an IBC protocol. Experiments involving </w:t>
      </w:r>
      <w:r w:rsidR="002909A1" w:rsidRPr="00FC7B18">
        <w:rPr>
          <w:rFonts w:asciiTheme="minorHAnsi" w:hAnsiTheme="minorHAnsi" w:cstheme="minorHAnsi"/>
          <w:sz w:val="22"/>
          <w:szCs w:val="22"/>
        </w:rPr>
        <w:t xml:space="preserve">established </w:t>
      </w:r>
      <w:r w:rsidR="001559EB" w:rsidRPr="00FC7B18">
        <w:rPr>
          <w:rFonts w:asciiTheme="minorHAnsi" w:hAnsiTheme="minorHAnsi" w:cstheme="minorHAnsi"/>
          <w:sz w:val="22"/>
          <w:szCs w:val="22"/>
        </w:rPr>
        <w:t>human cell lines may require an IBC protocol</w:t>
      </w:r>
      <w:r w:rsidR="002909A1" w:rsidRPr="00FC7B18">
        <w:rPr>
          <w:rFonts w:asciiTheme="minorHAnsi" w:hAnsiTheme="minorHAnsi" w:cstheme="minorHAnsi"/>
          <w:sz w:val="22"/>
          <w:szCs w:val="22"/>
        </w:rPr>
        <w:t>-</w:t>
      </w:r>
      <w:r w:rsidR="002909A1">
        <w:rPr>
          <w:rFonts w:asciiTheme="minorHAnsi" w:hAnsiTheme="minorHAnsi" w:cstheme="minorHAnsi"/>
          <w:sz w:val="22"/>
          <w:szCs w:val="22"/>
        </w:rPr>
        <w:t>p</w:t>
      </w:r>
      <w:r w:rsidR="0008253D">
        <w:rPr>
          <w:rFonts w:asciiTheme="minorHAnsi" w:hAnsiTheme="minorHAnsi" w:cstheme="minorHAnsi"/>
          <w:sz w:val="22"/>
          <w:szCs w:val="22"/>
        </w:rPr>
        <w:t>lease</w:t>
      </w:r>
      <w:r w:rsidR="001559EB" w:rsidRPr="001559EB">
        <w:rPr>
          <w:rFonts w:asciiTheme="minorHAnsi" w:hAnsiTheme="minorHAnsi" w:cstheme="minorHAnsi"/>
          <w:sz w:val="22"/>
          <w:szCs w:val="22"/>
        </w:rPr>
        <w:t xml:space="preserve"> contact the IBC administrator or UNMC Biosafety (biosafety@unmc.edu) for additional information.</w:t>
      </w:r>
    </w:p>
    <w:p w14:paraId="585D5FB0" w14:textId="77777777" w:rsidR="00AA3502" w:rsidRDefault="00AA3502" w:rsidP="00D41E82">
      <w:pPr>
        <w:rPr>
          <w:rFonts w:asciiTheme="minorHAnsi" w:hAnsiTheme="minorHAnsi" w:cstheme="minorHAnsi"/>
          <w:sz w:val="22"/>
          <w:szCs w:val="22"/>
        </w:rPr>
      </w:pPr>
    </w:p>
    <w:p w14:paraId="15EAF029" w14:textId="709433D3" w:rsidR="006E6F4A" w:rsidRDefault="00AA3502" w:rsidP="00D41E82">
      <w:pPr>
        <w:rPr>
          <w:rFonts w:asciiTheme="minorHAnsi" w:hAnsiTheme="minorHAnsi" w:cstheme="minorHAnsi"/>
          <w:i/>
          <w:iCs/>
          <w:sz w:val="22"/>
          <w:szCs w:val="22"/>
        </w:rPr>
      </w:pPr>
      <w:r w:rsidRPr="00AA3502">
        <w:rPr>
          <w:rFonts w:asciiTheme="minorHAnsi" w:hAnsiTheme="minorHAnsi" w:cstheme="minorHAnsi"/>
          <w:i/>
          <w:sz w:val="22"/>
          <w:szCs w:val="22"/>
        </w:rPr>
        <w:t>A</w:t>
      </w:r>
      <w:r w:rsidR="00D41E82" w:rsidRPr="00D41E82">
        <w:rPr>
          <w:rFonts w:asciiTheme="minorHAnsi" w:hAnsiTheme="minorHAnsi" w:cstheme="minorHAnsi"/>
          <w:i/>
          <w:iCs/>
          <w:sz w:val="22"/>
          <w:szCs w:val="22"/>
        </w:rPr>
        <w:t xml:space="preserve">dopted </w:t>
      </w:r>
      <w:r w:rsidR="0020430D">
        <w:rPr>
          <w:rFonts w:asciiTheme="minorHAnsi" w:hAnsiTheme="minorHAnsi" w:cstheme="minorHAnsi"/>
          <w:i/>
          <w:iCs/>
          <w:sz w:val="22"/>
          <w:szCs w:val="22"/>
        </w:rPr>
        <w:t>and approved by the</w:t>
      </w:r>
      <w:r w:rsidR="00D41E82" w:rsidRPr="00D41E82">
        <w:rPr>
          <w:rFonts w:asciiTheme="minorHAnsi" w:hAnsiTheme="minorHAnsi" w:cstheme="minorHAnsi"/>
          <w:i/>
          <w:iCs/>
          <w:sz w:val="22"/>
          <w:szCs w:val="22"/>
        </w:rPr>
        <w:t xml:space="preserve"> UNMC Institutional Biosafety Committee (IBC</w:t>
      </w:r>
      <w:r w:rsidR="00FC7B18" w:rsidRPr="00D41E82">
        <w:rPr>
          <w:rFonts w:asciiTheme="minorHAnsi" w:hAnsiTheme="minorHAnsi" w:cstheme="minorHAnsi"/>
          <w:i/>
          <w:iCs/>
          <w:sz w:val="22"/>
          <w:szCs w:val="22"/>
        </w:rPr>
        <w:t>)</w:t>
      </w:r>
      <w:r w:rsidR="00FC7B18">
        <w:rPr>
          <w:rFonts w:asciiTheme="minorHAnsi" w:hAnsiTheme="minorHAnsi" w:cstheme="minorHAnsi"/>
          <w:i/>
          <w:iCs/>
          <w:sz w:val="22"/>
          <w:szCs w:val="22"/>
        </w:rPr>
        <w:t xml:space="preserve"> on</w:t>
      </w:r>
      <w:r w:rsidR="00FC7B18" w:rsidRPr="00D41E82">
        <w:rPr>
          <w:rFonts w:asciiTheme="minorHAnsi" w:hAnsiTheme="minorHAnsi" w:cstheme="minorHAnsi"/>
          <w:i/>
          <w:iCs/>
          <w:sz w:val="22"/>
          <w:szCs w:val="22"/>
        </w:rPr>
        <w:t xml:space="preserve"> </w:t>
      </w:r>
      <w:r w:rsidR="00D41E82" w:rsidRPr="00D41E82">
        <w:rPr>
          <w:rFonts w:asciiTheme="minorHAnsi" w:hAnsiTheme="minorHAnsi" w:cstheme="minorHAnsi"/>
          <w:i/>
          <w:iCs/>
          <w:sz w:val="22"/>
          <w:szCs w:val="22"/>
        </w:rPr>
        <w:t xml:space="preserve">July </w:t>
      </w:r>
      <w:r w:rsidR="007040A8">
        <w:rPr>
          <w:rFonts w:asciiTheme="minorHAnsi" w:hAnsiTheme="minorHAnsi" w:cstheme="minorHAnsi"/>
          <w:i/>
          <w:iCs/>
          <w:sz w:val="22"/>
          <w:szCs w:val="22"/>
        </w:rPr>
        <w:t>12</w:t>
      </w:r>
      <w:r w:rsidR="00D41E82" w:rsidRPr="00D41E82">
        <w:rPr>
          <w:rFonts w:asciiTheme="minorHAnsi" w:hAnsiTheme="minorHAnsi" w:cstheme="minorHAnsi"/>
          <w:i/>
          <w:iCs/>
          <w:sz w:val="22"/>
          <w:szCs w:val="22"/>
        </w:rPr>
        <w:t xml:space="preserve">, 2019. </w:t>
      </w:r>
    </w:p>
    <w:p w14:paraId="532ADFCF" w14:textId="77777777" w:rsidR="0020430D" w:rsidRDefault="0020430D" w:rsidP="00D41E82">
      <w:pPr>
        <w:rPr>
          <w:rFonts w:asciiTheme="minorHAnsi" w:hAnsiTheme="minorHAnsi" w:cstheme="minorHAnsi"/>
          <w:b/>
          <w:bCs/>
          <w:sz w:val="22"/>
          <w:szCs w:val="22"/>
          <w:u w:val="single"/>
        </w:rPr>
      </w:pPr>
    </w:p>
    <w:p w14:paraId="744B45F5" w14:textId="5BD345D5" w:rsidR="00D41E82" w:rsidRPr="006E6F4A" w:rsidRDefault="00D41E82" w:rsidP="00D41E82">
      <w:pPr>
        <w:rPr>
          <w:rFonts w:asciiTheme="minorHAnsi" w:hAnsiTheme="minorHAnsi" w:cstheme="minorHAnsi"/>
          <w:i/>
          <w:iCs/>
          <w:sz w:val="22"/>
          <w:szCs w:val="22"/>
        </w:rPr>
      </w:pPr>
      <w:r w:rsidRPr="00D41E82">
        <w:rPr>
          <w:rFonts w:asciiTheme="minorHAnsi" w:hAnsiTheme="minorHAnsi" w:cstheme="minorHAnsi"/>
          <w:b/>
          <w:bCs/>
          <w:sz w:val="22"/>
          <w:szCs w:val="22"/>
          <w:u w:val="single"/>
        </w:rPr>
        <w:lastRenderedPageBreak/>
        <w:t>References</w:t>
      </w:r>
    </w:p>
    <w:p w14:paraId="06C7CBCE" w14:textId="77777777" w:rsidR="00D41E82" w:rsidRPr="00D41E82" w:rsidRDefault="001357E9" w:rsidP="00D41E82">
      <w:pPr>
        <w:numPr>
          <w:ilvl w:val="0"/>
          <w:numId w:val="8"/>
        </w:numPr>
        <w:rPr>
          <w:rFonts w:asciiTheme="minorHAnsi" w:hAnsiTheme="minorHAnsi" w:cstheme="minorHAnsi"/>
          <w:sz w:val="22"/>
          <w:szCs w:val="22"/>
        </w:rPr>
      </w:pPr>
      <w:hyperlink r:id="rId12" w:history="1">
        <w:r w:rsidR="00D41E82" w:rsidRPr="00D41E82">
          <w:rPr>
            <w:rStyle w:val="Hyperlink"/>
            <w:rFonts w:asciiTheme="minorHAnsi" w:hAnsiTheme="minorHAnsi" w:cstheme="minorHAnsi"/>
            <w:sz w:val="22"/>
            <w:szCs w:val="22"/>
          </w:rPr>
          <w:t>OSHA Bloodborne Pathogens standard (29 CFR 1910.1030)</w:t>
        </w:r>
      </w:hyperlink>
    </w:p>
    <w:p w14:paraId="39E264CB" w14:textId="77777777" w:rsidR="00D41E82" w:rsidRPr="00D41E82" w:rsidRDefault="001357E9" w:rsidP="00D41E82">
      <w:pPr>
        <w:numPr>
          <w:ilvl w:val="0"/>
          <w:numId w:val="8"/>
        </w:numPr>
        <w:rPr>
          <w:rFonts w:asciiTheme="minorHAnsi" w:hAnsiTheme="minorHAnsi" w:cstheme="minorHAnsi"/>
          <w:sz w:val="22"/>
          <w:szCs w:val="22"/>
        </w:rPr>
      </w:pPr>
      <w:hyperlink r:id="rId13" w:tgtFrame="_blank" w:history="1">
        <w:r w:rsidR="00D41E82" w:rsidRPr="00D41E82">
          <w:rPr>
            <w:rFonts w:asciiTheme="minorHAnsi" w:hAnsiTheme="minorHAnsi" w:cstheme="minorHAnsi"/>
            <w:color w:val="0000FF"/>
            <w:sz w:val="22"/>
            <w:szCs w:val="22"/>
            <w:u w:val="single"/>
          </w:rPr>
          <w:t>OSHA Letter of Interpretation</w:t>
        </w:r>
      </w:hyperlink>
    </w:p>
    <w:p w14:paraId="3D419A1C" w14:textId="77777777" w:rsidR="00D41E82" w:rsidRPr="00D41E82" w:rsidRDefault="001357E9" w:rsidP="00D41E82">
      <w:pPr>
        <w:numPr>
          <w:ilvl w:val="0"/>
          <w:numId w:val="8"/>
        </w:numPr>
        <w:rPr>
          <w:rFonts w:asciiTheme="minorHAnsi" w:hAnsiTheme="minorHAnsi" w:cstheme="minorHAnsi"/>
          <w:sz w:val="22"/>
          <w:szCs w:val="22"/>
        </w:rPr>
      </w:pPr>
      <w:hyperlink r:id="rId14" w:tgtFrame="_blank" w:history="1">
        <w:r w:rsidR="00D41E82" w:rsidRPr="00D41E82">
          <w:rPr>
            <w:rFonts w:asciiTheme="minorHAnsi" w:hAnsiTheme="minorHAnsi" w:cstheme="minorHAnsi"/>
            <w:color w:val="0000FF"/>
            <w:sz w:val="22"/>
            <w:szCs w:val="22"/>
            <w:u w:val="single"/>
          </w:rPr>
          <w:t>ATCC (American Type Culture Collection) Frequently Asked Questions</w:t>
        </w:r>
      </w:hyperlink>
    </w:p>
    <w:p w14:paraId="18C20043" w14:textId="77777777" w:rsidR="0075208D" w:rsidRPr="00D41E82" w:rsidRDefault="001357E9" w:rsidP="00D41E82">
      <w:pPr>
        <w:numPr>
          <w:ilvl w:val="0"/>
          <w:numId w:val="8"/>
        </w:numPr>
        <w:rPr>
          <w:rFonts w:asciiTheme="minorHAnsi" w:hAnsiTheme="minorHAnsi" w:cstheme="minorHAnsi"/>
          <w:sz w:val="22"/>
          <w:szCs w:val="22"/>
        </w:rPr>
      </w:pPr>
      <w:hyperlink r:id="rId15" w:tgtFrame="_blank" w:history="1">
        <w:r w:rsidR="00D41E82" w:rsidRPr="00D41E82">
          <w:rPr>
            <w:rFonts w:asciiTheme="minorHAnsi" w:hAnsiTheme="minorHAnsi" w:cstheme="minorHAnsi"/>
            <w:color w:val="0000FF"/>
            <w:sz w:val="22"/>
            <w:szCs w:val="22"/>
            <w:u w:val="single"/>
          </w:rPr>
          <w:t>BMBL (Biosafety in Microbiological and Biomedical Laboratories), 5th Edition</w:t>
        </w:r>
      </w:hyperlink>
    </w:p>
    <w:p w14:paraId="6590C6E1" w14:textId="77777777" w:rsidR="00374CEA" w:rsidRPr="00D41E82" w:rsidRDefault="00374CEA" w:rsidP="001275F5">
      <w:pPr>
        <w:autoSpaceDE w:val="0"/>
        <w:autoSpaceDN w:val="0"/>
        <w:adjustRightInd w:val="0"/>
        <w:spacing w:before="120"/>
        <w:rPr>
          <w:rFonts w:asciiTheme="minorHAnsi" w:hAnsiTheme="minorHAnsi" w:cstheme="minorHAnsi"/>
          <w:color w:val="808080"/>
          <w:sz w:val="20"/>
          <w:szCs w:val="20"/>
        </w:rPr>
      </w:pPr>
    </w:p>
    <w:p w14:paraId="7E2A9CF2" w14:textId="77777777" w:rsidR="008656C6" w:rsidRDefault="008656C6" w:rsidP="001275F5">
      <w:pPr>
        <w:autoSpaceDE w:val="0"/>
        <w:autoSpaceDN w:val="0"/>
        <w:adjustRightInd w:val="0"/>
        <w:spacing w:before="120"/>
        <w:rPr>
          <w:rStyle w:val="Hyperlink"/>
          <w:rFonts w:asciiTheme="minorHAnsi" w:hAnsiTheme="minorHAnsi" w:cstheme="minorHAnsi"/>
          <w:sz w:val="20"/>
          <w:szCs w:val="20"/>
        </w:rPr>
      </w:pPr>
      <w:r w:rsidRPr="00D41E82">
        <w:rPr>
          <w:rFonts w:asciiTheme="minorHAnsi" w:hAnsiTheme="minorHAnsi" w:cstheme="minorHAnsi"/>
          <w:b/>
          <w:sz w:val="20"/>
          <w:szCs w:val="20"/>
        </w:rPr>
        <w:t>Questions?</w:t>
      </w:r>
      <w:r w:rsidRPr="00D41E82">
        <w:rPr>
          <w:rFonts w:asciiTheme="minorHAnsi" w:hAnsiTheme="minorHAnsi" w:cstheme="minorHAnsi"/>
          <w:sz w:val="20"/>
          <w:szCs w:val="20"/>
        </w:rPr>
        <w:t xml:space="preserve"> Please contact </w:t>
      </w:r>
      <w:r w:rsidRPr="00D41E82">
        <w:rPr>
          <w:rFonts w:asciiTheme="minorHAnsi" w:hAnsiTheme="minorHAnsi" w:cstheme="minorHAnsi"/>
          <w:b/>
          <w:sz w:val="20"/>
          <w:szCs w:val="20"/>
        </w:rPr>
        <w:t>UNMC</w:t>
      </w:r>
      <w:r w:rsidR="00D41E82" w:rsidRPr="00D41E82">
        <w:rPr>
          <w:rFonts w:asciiTheme="minorHAnsi" w:hAnsiTheme="minorHAnsi" w:cstheme="minorHAnsi"/>
          <w:b/>
          <w:sz w:val="20"/>
          <w:szCs w:val="20"/>
        </w:rPr>
        <w:t xml:space="preserve"> IBC </w:t>
      </w:r>
      <w:r w:rsidR="00D41E82" w:rsidRPr="00D847AC">
        <w:rPr>
          <w:rFonts w:asciiTheme="minorHAnsi" w:hAnsiTheme="minorHAnsi" w:cstheme="minorHAnsi"/>
          <w:sz w:val="20"/>
          <w:szCs w:val="20"/>
        </w:rPr>
        <w:t>at</w:t>
      </w:r>
      <w:r w:rsidR="00D41E82" w:rsidRPr="00D41E82">
        <w:rPr>
          <w:rFonts w:asciiTheme="minorHAnsi" w:hAnsiTheme="minorHAnsi" w:cstheme="minorHAnsi"/>
          <w:b/>
          <w:sz w:val="20"/>
          <w:szCs w:val="20"/>
        </w:rPr>
        <w:t xml:space="preserve"> </w:t>
      </w:r>
      <w:r w:rsidR="00D41E82" w:rsidRPr="00D41E82">
        <w:rPr>
          <w:rFonts w:asciiTheme="minorHAnsi" w:hAnsiTheme="minorHAnsi" w:cstheme="minorHAnsi"/>
          <w:sz w:val="20"/>
          <w:szCs w:val="20"/>
        </w:rPr>
        <w:t>402-559-6463</w:t>
      </w:r>
      <w:r w:rsidR="00D41E82" w:rsidRPr="00D41E82">
        <w:rPr>
          <w:rFonts w:asciiTheme="minorHAnsi" w:hAnsiTheme="minorHAnsi" w:cstheme="minorHAnsi"/>
        </w:rPr>
        <w:t xml:space="preserve"> </w:t>
      </w:r>
      <w:r w:rsidR="00D41E82" w:rsidRPr="00D41E82">
        <w:rPr>
          <w:rFonts w:asciiTheme="minorHAnsi" w:hAnsiTheme="minorHAnsi" w:cstheme="minorHAnsi"/>
          <w:b/>
          <w:sz w:val="20"/>
          <w:szCs w:val="20"/>
        </w:rPr>
        <w:t>or UNMC</w:t>
      </w:r>
      <w:r w:rsidRPr="00D41E82">
        <w:rPr>
          <w:rFonts w:asciiTheme="minorHAnsi" w:hAnsiTheme="minorHAnsi" w:cstheme="minorHAnsi"/>
          <w:b/>
          <w:sz w:val="20"/>
          <w:szCs w:val="20"/>
        </w:rPr>
        <w:t xml:space="preserve"> Biosafety</w:t>
      </w:r>
      <w:r w:rsidRPr="00D41E82">
        <w:rPr>
          <w:rFonts w:asciiTheme="minorHAnsi" w:hAnsiTheme="minorHAnsi" w:cstheme="minorHAnsi"/>
          <w:sz w:val="20"/>
          <w:szCs w:val="20"/>
        </w:rPr>
        <w:t xml:space="preserve"> at </w:t>
      </w:r>
      <w:hyperlink r:id="rId16" w:history="1">
        <w:r w:rsidRPr="00D41E82">
          <w:rPr>
            <w:rStyle w:val="Hyperlink"/>
            <w:rFonts w:asciiTheme="minorHAnsi" w:hAnsiTheme="minorHAnsi" w:cstheme="minorHAnsi"/>
            <w:sz w:val="20"/>
            <w:szCs w:val="20"/>
          </w:rPr>
          <w:t>biosafety@unmc.edu</w:t>
        </w:r>
      </w:hyperlink>
      <w:r w:rsidRPr="00D41E82">
        <w:rPr>
          <w:rFonts w:asciiTheme="minorHAnsi" w:hAnsiTheme="minorHAnsi" w:cstheme="minorHAnsi"/>
          <w:sz w:val="20"/>
          <w:szCs w:val="20"/>
        </w:rPr>
        <w:t xml:space="preserve"> or </w:t>
      </w:r>
      <w:hyperlink r:id="rId17" w:history="1">
        <w:r w:rsidRPr="00D41E82">
          <w:rPr>
            <w:rStyle w:val="Hyperlink"/>
            <w:rFonts w:asciiTheme="minorHAnsi" w:hAnsiTheme="minorHAnsi" w:cstheme="minorHAnsi"/>
            <w:sz w:val="20"/>
            <w:szCs w:val="20"/>
          </w:rPr>
          <w:t>unmcehs@unmc.edu</w:t>
        </w:r>
      </w:hyperlink>
    </w:p>
    <w:p w14:paraId="43D3EFBE" w14:textId="77777777" w:rsidR="00500691" w:rsidRDefault="00500691" w:rsidP="001275F5">
      <w:pPr>
        <w:autoSpaceDE w:val="0"/>
        <w:autoSpaceDN w:val="0"/>
        <w:adjustRightInd w:val="0"/>
        <w:spacing w:before="120"/>
        <w:rPr>
          <w:rStyle w:val="Hyperlink"/>
          <w:rFonts w:asciiTheme="minorHAnsi" w:hAnsiTheme="minorHAnsi" w:cstheme="minorHAnsi"/>
          <w:sz w:val="20"/>
          <w:szCs w:val="20"/>
        </w:rPr>
      </w:pPr>
    </w:p>
    <w:p w14:paraId="34A1215E" w14:textId="75FF17FC" w:rsidR="00500691" w:rsidRPr="00500691" w:rsidRDefault="00500691" w:rsidP="001275F5">
      <w:pPr>
        <w:autoSpaceDE w:val="0"/>
        <w:autoSpaceDN w:val="0"/>
        <w:adjustRightInd w:val="0"/>
        <w:spacing w:before="120"/>
        <w:rPr>
          <w:rFonts w:asciiTheme="minorHAnsi" w:hAnsiTheme="minorHAnsi" w:cstheme="minorHAnsi"/>
          <w:i/>
          <w:sz w:val="20"/>
          <w:szCs w:val="20"/>
        </w:rPr>
      </w:pPr>
      <w:r w:rsidRPr="00500691">
        <w:rPr>
          <w:rStyle w:val="Hyperlink"/>
          <w:rFonts w:asciiTheme="minorHAnsi" w:hAnsiTheme="minorHAnsi" w:cstheme="minorHAnsi"/>
          <w:i/>
          <w:color w:val="auto"/>
          <w:sz w:val="20"/>
          <w:szCs w:val="20"/>
          <w:u w:val="none"/>
        </w:rPr>
        <w:t xml:space="preserve">Last revised </w:t>
      </w:r>
      <w:r w:rsidR="001559EB">
        <w:rPr>
          <w:rStyle w:val="Hyperlink"/>
          <w:rFonts w:asciiTheme="minorHAnsi" w:hAnsiTheme="minorHAnsi" w:cstheme="minorHAnsi"/>
          <w:i/>
          <w:color w:val="auto"/>
          <w:sz w:val="20"/>
          <w:szCs w:val="20"/>
          <w:u w:val="none"/>
        </w:rPr>
        <w:t>7/</w:t>
      </w:r>
      <w:r w:rsidR="009B0339">
        <w:rPr>
          <w:rStyle w:val="Hyperlink"/>
          <w:rFonts w:asciiTheme="minorHAnsi" w:hAnsiTheme="minorHAnsi" w:cstheme="minorHAnsi"/>
          <w:i/>
          <w:color w:val="auto"/>
          <w:sz w:val="20"/>
          <w:szCs w:val="20"/>
          <w:u w:val="none"/>
        </w:rPr>
        <w:t>22</w:t>
      </w:r>
      <w:r w:rsidRPr="00500691">
        <w:rPr>
          <w:rStyle w:val="Hyperlink"/>
          <w:rFonts w:asciiTheme="minorHAnsi" w:hAnsiTheme="minorHAnsi" w:cstheme="minorHAnsi"/>
          <w:i/>
          <w:color w:val="auto"/>
          <w:sz w:val="20"/>
          <w:szCs w:val="20"/>
          <w:u w:val="none"/>
        </w:rPr>
        <w:t>/19</w:t>
      </w:r>
    </w:p>
    <w:sectPr w:rsidR="00500691" w:rsidRPr="00500691" w:rsidSect="006E6F4A">
      <w:headerReference w:type="default" r:id="rId18"/>
      <w:footerReference w:type="default" r:id="rId19"/>
      <w:pgSz w:w="12240" w:h="15840"/>
      <w:pgMar w:top="1627" w:right="1008" w:bottom="720" w:left="1008" w:header="36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B2472" w14:textId="77777777" w:rsidR="00B04D05" w:rsidRDefault="00B04D05" w:rsidP="009E067E">
      <w:r>
        <w:separator/>
      </w:r>
    </w:p>
  </w:endnote>
  <w:endnote w:type="continuationSeparator" w:id="0">
    <w:p w14:paraId="716F1B5D" w14:textId="77777777" w:rsidR="00B04D05" w:rsidRDefault="00B04D05"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7501" w14:textId="77777777" w:rsidR="0007780E" w:rsidRPr="002B5418" w:rsidRDefault="0007780E" w:rsidP="00EA6924">
    <w:pPr>
      <w:autoSpaceDE w:val="0"/>
      <w:autoSpaceDN w:val="0"/>
      <w:adjustRightInd w:val="0"/>
      <w:ind w:left="-1080"/>
      <w:rPr>
        <w:rFonts w:ascii="Arial" w:hAnsi="Arial"/>
        <w:color w:val="808080"/>
        <w:sz w:val="16"/>
        <w:szCs w:val="16"/>
      </w:rPr>
    </w:pPr>
    <w:r>
      <w:rPr>
        <w:noProof/>
      </w:rPr>
      <w:drawing>
        <wp:anchor distT="0" distB="0" distL="114300" distR="114300" simplePos="0" relativeHeight="251657728" behindDoc="0" locked="0" layoutInCell="1" allowOverlap="1" wp14:anchorId="78E26DDA" wp14:editId="219D35F0">
          <wp:simplePos x="0" y="0"/>
          <wp:positionH relativeFrom="column">
            <wp:posOffset>5600700</wp:posOffset>
          </wp:positionH>
          <wp:positionV relativeFrom="paragraph">
            <wp:posOffset>-347980</wp:posOffset>
          </wp:positionV>
          <wp:extent cx="843280" cy="335280"/>
          <wp:effectExtent l="0" t="0" r="0" b="0"/>
          <wp:wrapSquare wrapText="bothSides"/>
          <wp:docPr id="6" name="Picture 6" descr="UNMC_Wordmark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C_Wordmark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335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87D0B" w14:textId="77777777" w:rsidR="00B04D05" w:rsidRDefault="00B04D05" w:rsidP="009E067E">
      <w:r>
        <w:separator/>
      </w:r>
    </w:p>
  </w:footnote>
  <w:footnote w:type="continuationSeparator" w:id="0">
    <w:p w14:paraId="0DBFD051" w14:textId="77777777" w:rsidR="00B04D05" w:rsidRDefault="00B04D05" w:rsidP="009E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B8C5" w14:textId="77777777" w:rsidR="0007780E" w:rsidRDefault="0007780E" w:rsidP="005F0FF7">
    <w:pPr>
      <w:pStyle w:val="Header"/>
      <w:ind w:firstLine="360"/>
      <w:jc w:val="right"/>
      <w:rPr>
        <w:rFonts w:asciiTheme="minorHAnsi" w:hAnsiTheme="minorHAnsi" w:cstheme="minorHAnsi"/>
        <w:b/>
        <w:color w:val="FFFFFF" w:themeColor="background1"/>
        <w:sz w:val="28"/>
        <w:szCs w:val="28"/>
        <w:lang w:val="en-US"/>
      </w:rPr>
    </w:pPr>
    <w:r w:rsidRPr="005F0FF7">
      <w:rPr>
        <w:rFonts w:asciiTheme="minorHAnsi" w:hAnsiTheme="minorHAnsi" w:cstheme="minorHAnsi"/>
        <w:b/>
        <w:noProof/>
        <w:color w:val="FFFFFF" w:themeColor="background1"/>
        <w:sz w:val="28"/>
        <w:szCs w:val="28"/>
        <w:lang w:val="en-US" w:eastAsia="en-US"/>
      </w:rPr>
      <w:drawing>
        <wp:anchor distT="0" distB="0" distL="114300" distR="114300" simplePos="0" relativeHeight="251659776" behindDoc="1" locked="0" layoutInCell="1" allowOverlap="1" wp14:anchorId="34ADBB16" wp14:editId="07EF0D6B">
          <wp:simplePos x="0" y="0"/>
          <wp:positionH relativeFrom="column">
            <wp:posOffset>-9260</wp:posOffset>
          </wp:positionH>
          <wp:positionV relativeFrom="paragraph">
            <wp:posOffset>2894</wp:posOffset>
          </wp:positionV>
          <wp:extent cx="6510872" cy="800966"/>
          <wp:effectExtent l="0" t="0" r="4445" b="0"/>
          <wp:wrapNone/>
          <wp:docPr id="4" name="Picture 4" descr="11405_WordDo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405_WordDo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872" cy="8009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FFFFFF" w:themeColor="background1"/>
        <w:sz w:val="28"/>
        <w:szCs w:val="28"/>
        <w:lang w:val="en-US"/>
      </w:rPr>
      <w:t xml:space="preserve">   </w:t>
    </w:r>
  </w:p>
  <w:p w14:paraId="04F525F3" w14:textId="77777777" w:rsidR="0007780E" w:rsidRPr="005F0FF7" w:rsidRDefault="0007780E" w:rsidP="00D41E82">
    <w:pPr>
      <w:pStyle w:val="Header"/>
      <w:tabs>
        <w:tab w:val="clear" w:pos="8640"/>
        <w:tab w:val="right" w:pos="8460"/>
      </w:tabs>
      <w:ind w:right="414" w:firstLine="360"/>
      <w:jc w:val="right"/>
      <w:rPr>
        <w:rFonts w:asciiTheme="minorHAnsi" w:hAnsiTheme="minorHAnsi" w:cstheme="minorHAnsi"/>
        <w:b/>
        <w:color w:val="FFFFFF" w:themeColor="background1"/>
        <w:sz w:val="28"/>
        <w:szCs w:val="28"/>
        <w:lang w:val="en-US"/>
      </w:rPr>
    </w:pPr>
    <w:r>
      <w:rPr>
        <w:rFonts w:asciiTheme="minorHAnsi" w:hAnsiTheme="minorHAnsi" w:cstheme="minorHAnsi"/>
        <w:b/>
        <w:color w:val="FFFFFF" w:themeColor="background1"/>
        <w:sz w:val="28"/>
        <w:szCs w:val="28"/>
        <w:lang w:val="en-US"/>
      </w:rPr>
      <w:t>Institutional Biosafety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EC0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5F4"/>
    <w:multiLevelType w:val="hybridMultilevel"/>
    <w:tmpl w:val="933C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247"/>
    <w:multiLevelType w:val="hybridMultilevel"/>
    <w:tmpl w:val="C6F66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548B3"/>
    <w:multiLevelType w:val="hybridMultilevel"/>
    <w:tmpl w:val="867E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60D5E"/>
    <w:multiLevelType w:val="hybridMultilevel"/>
    <w:tmpl w:val="2A32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4381"/>
    <w:multiLevelType w:val="hybridMultilevel"/>
    <w:tmpl w:val="E08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642F7"/>
    <w:multiLevelType w:val="hybridMultilevel"/>
    <w:tmpl w:val="6FC67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8787F"/>
    <w:multiLevelType w:val="hybridMultilevel"/>
    <w:tmpl w:val="4F40AC90"/>
    <w:lvl w:ilvl="0" w:tplc="CF6020B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F14A39"/>
    <w:multiLevelType w:val="multilevel"/>
    <w:tmpl w:val="32426E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2"/>
    <w:rsid w:val="000275F5"/>
    <w:rsid w:val="0005083C"/>
    <w:rsid w:val="00064480"/>
    <w:rsid w:val="0007780E"/>
    <w:rsid w:val="0008253D"/>
    <w:rsid w:val="000C6796"/>
    <w:rsid w:val="000D611A"/>
    <w:rsid w:val="001275F5"/>
    <w:rsid w:val="001357E9"/>
    <w:rsid w:val="001559EB"/>
    <w:rsid w:val="001756B7"/>
    <w:rsid w:val="001911C0"/>
    <w:rsid w:val="001C1448"/>
    <w:rsid w:val="001C2684"/>
    <w:rsid w:val="001D1C00"/>
    <w:rsid w:val="001D3D7E"/>
    <w:rsid w:val="001E4EB5"/>
    <w:rsid w:val="0020340C"/>
    <w:rsid w:val="0020430D"/>
    <w:rsid w:val="0028303C"/>
    <w:rsid w:val="0028398B"/>
    <w:rsid w:val="002909A1"/>
    <w:rsid w:val="00295488"/>
    <w:rsid w:val="002B5418"/>
    <w:rsid w:val="002B796B"/>
    <w:rsid w:val="003163F5"/>
    <w:rsid w:val="003566B6"/>
    <w:rsid w:val="00374CEA"/>
    <w:rsid w:val="003C2A3C"/>
    <w:rsid w:val="003C45D1"/>
    <w:rsid w:val="004060C0"/>
    <w:rsid w:val="004136F1"/>
    <w:rsid w:val="00437E73"/>
    <w:rsid w:val="00456613"/>
    <w:rsid w:val="0047106A"/>
    <w:rsid w:val="004B63D0"/>
    <w:rsid w:val="004C389F"/>
    <w:rsid w:val="004E5032"/>
    <w:rsid w:val="00500691"/>
    <w:rsid w:val="005172BF"/>
    <w:rsid w:val="00565563"/>
    <w:rsid w:val="005829B1"/>
    <w:rsid w:val="005D0084"/>
    <w:rsid w:val="005F0FF7"/>
    <w:rsid w:val="00624ABD"/>
    <w:rsid w:val="0063108F"/>
    <w:rsid w:val="00636982"/>
    <w:rsid w:val="00645689"/>
    <w:rsid w:val="0066453F"/>
    <w:rsid w:val="006E2089"/>
    <w:rsid w:val="006E6F4A"/>
    <w:rsid w:val="006F40BA"/>
    <w:rsid w:val="00700CF7"/>
    <w:rsid w:val="007040A8"/>
    <w:rsid w:val="0075208D"/>
    <w:rsid w:val="007663F9"/>
    <w:rsid w:val="007A753A"/>
    <w:rsid w:val="007B48A6"/>
    <w:rsid w:val="00824789"/>
    <w:rsid w:val="00833AB4"/>
    <w:rsid w:val="00860E87"/>
    <w:rsid w:val="008656C6"/>
    <w:rsid w:val="008710A9"/>
    <w:rsid w:val="00897460"/>
    <w:rsid w:val="008E4FF3"/>
    <w:rsid w:val="008E50CB"/>
    <w:rsid w:val="008F611D"/>
    <w:rsid w:val="009B0339"/>
    <w:rsid w:val="009B4982"/>
    <w:rsid w:val="009D0585"/>
    <w:rsid w:val="009E067E"/>
    <w:rsid w:val="00A111E8"/>
    <w:rsid w:val="00A22A84"/>
    <w:rsid w:val="00A31D2E"/>
    <w:rsid w:val="00A44BBD"/>
    <w:rsid w:val="00A63EE1"/>
    <w:rsid w:val="00AA3502"/>
    <w:rsid w:val="00AD5904"/>
    <w:rsid w:val="00B04D05"/>
    <w:rsid w:val="00B114EC"/>
    <w:rsid w:val="00B52DC2"/>
    <w:rsid w:val="00BB18C0"/>
    <w:rsid w:val="00C34C74"/>
    <w:rsid w:val="00CC1ADC"/>
    <w:rsid w:val="00CC1E9A"/>
    <w:rsid w:val="00D04BFB"/>
    <w:rsid w:val="00D41E82"/>
    <w:rsid w:val="00D847AC"/>
    <w:rsid w:val="00D954A2"/>
    <w:rsid w:val="00E444C8"/>
    <w:rsid w:val="00E47C58"/>
    <w:rsid w:val="00E54D81"/>
    <w:rsid w:val="00EA6924"/>
    <w:rsid w:val="00EF5477"/>
    <w:rsid w:val="00F47E52"/>
    <w:rsid w:val="00F85C39"/>
    <w:rsid w:val="00FC7B18"/>
    <w:rsid w:val="00FE28A1"/>
    <w:rsid w:val="00FE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D879CE"/>
  <w15:chartTrackingRefBased/>
  <w15:docId w15:val="{2CEB9F8C-3FF3-4267-B364-B07E0FB0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link w:val="Heading3Char"/>
    <w:uiPriority w:val="9"/>
    <w:unhideWhenUsed/>
    <w:qFormat/>
    <w:rsid w:val="00D41E82"/>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D41E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rsid w:val="009E067E"/>
    <w:pPr>
      <w:tabs>
        <w:tab w:val="center" w:pos="4320"/>
        <w:tab w:val="right" w:pos="8640"/>
      </w:tabs>
    </w:pPr>
    <w:rPr>
      <w:lang w:val="x-none" w:eastAsia="x-none"/>
    </w:rPr>
  </w:style>
  <w:style w:type="character" w:customStyle="1" w:styleId="FooterChar">
    <w:name w:val="Footer Char"/>
    <w:link w:val="Footer"/>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ListParagraph">
    <w:name w:val="List Paragraph"/>
    <w:basedOn w:val="Normal"/>
    <w:uiPriority w:val="34"/>
    <w:qFormat/>
    <w:rsid w:val="0075208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656C6"/>
    <w:rPr>
      <w:rFonts w:ascii="Segoe UI" w:hAnsi="Segoe UI" w:cs="Segoe UI"/>
      <w:sz w:val="18"/>
      <w:szCs w:val="18"/>
    </w:rPr>
  </w:style>
  <w:style w:type="character" w:customStyle="1" w:styleId="BalloonTextChar">
    <w:name w:val="Balloon Text Char"/>
    <w:basedOn w:val="DefaultParagraphFont"/>
    <w:link w:val="BalloonText"/>
    <w:rsid w:val="008656C6"/>
    <w:rPr>
      <w:rFonts w:ascii="Segoe UI" w:hAnsi="Segoe UI" w:cs="Segoe UI"/>
      <w:sz w:val="18"/>
      <w:szCs w:val="18"/>
    </w:rPr>
  </w:style>
  <w:style w:type="character" w:customStyle="1" w:styleId="Heading4Char">
    <w:name w:val="Heading 4 Char"/>
    <w:basedOn w:val="DefaultParagraphFont"/>
    <w:link w:val="Heading4"/>
    <w:rsid w:val="00D41E82"/>
    <w:rPr>
      <w:rFonts w:asciiTheme="majorHAnsi" w:eastAsiaTheme="majorEastAsia" w:hAnsiTheme="majorHAnsi" w:cstheme="majorBidi"/>
      <w:i/>
      <w:iCs/>
      <w:color w:val="2E74B5" w:themeColor="accent1" w:themeShade="BF"/>
      <w:sz w:val="24"/>
      <w:szCs w:val="24"/>
    </w:rPr>
  </w:style>
  <w:style w:type="character" w:customStyle="1" w:styleId="Heading3Char">
    <w:name w:val="Heading 3 Char"/>
    <w:basedOn w:val="DefaultParagraphFont"/>
    <w:link w:val="Heading3"/>
    <w:uiPriority w:val="9"/>
    <w:rsid w:val="00D41E8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41E82"/>
    <w:rPr>
      <w:i/>
      <w:iCs/>
    </w:rPr>
  </w:style>
  <w:style w:type="character" w:styleId="Strong">
    <w:name w:val="Strong"/>
    <w:basedOn w:val="DefaultParagraphFont"/>
    <w:uiPriority w:val="22"/>
    <w:qFormat/>
    <w:rsid w:val="00D41E82"/>
    <w:rPr>
      <w:b/>
      <w:bCs/>
    </w:rPr>
  </w:style>
  <w:style w:type="paragraph" w:customStyle="1" w:styleId="list-group-blue-orange">
    <w:name w:val="list-group-blue-orange"/>
    <w:basedOn w:val="Normal"/>
    <w:rsid w:val="00D41E82"/>
    <w:pPr>
      <w:spacing w:before="100" w:beforeAutospacing="1" w:after="100" w:afterAutospacing="1"/>
    </w:pPr>
  </w:style>
  <w:style w:type="character" w:styleId="FollowedHyperlink">
    <w:name w:val="FollowedHyperlink"/>
    <w:basedOn w:val="DefaultParagraphFont"/>
    <w:rsid w:val="006F40BA"/>
    <w:rPr>
      <w:color w:val="954F72" w:themeColor="followedHyperlink"/>
      <w:u w:val="single"/>
    </w:rPr>
  </w:style>
  <w:style w:type="character" w:styleId="CommentReference">
    <w:name w:val="annotation reference"/>
    <w:basedOn w:val="DefaultParagraphFont"/>
    <w:rsid w:val="00064480"/>
    <w:rPr>
      <w:sz w:val="16"/>
      <w:szCs w:val="16"/>
    </w:rPr>
  </w:style>
  <w:style w:type="paragraph" w:styleId="CommentText">
    <w:name w:val="annotation text"/>
    <w:basedOn w:val="Normal"/>
    <w:link w:val="CommentTextChar"/>
    <w:rsid w:val="00064480"/>
    <w:rPr>
      <w:sz w:val="20"/>
      <w:szCs w:val="20"/>
    </w:rPr>
  </w:style>
  <w:style w:type="character" w:customStyle="1" w:styleId="CommentTextChar">
    <w:name w:val="Comment Text Char"/>
    <w:basedOn w:val="DefaultParagraphFont"/>
    <w:link w:val="CommentText"/>
    <w:rsid w:val="00064480"/>
  </w:style>
  <w:style w:type="paragraph" w:styleId="CommentSubject">
    <w:name w:val="annotation subject"/>
    <w:basedOn w:val="CommentText"/>
    <w:next w:val="CommentText"/>
    <w:link w:val="CommentSubjectChar"/>
    <w:rsid w:val="00064480"/>
    <w:rPr>
      <w:b/>
      <w:bCs/>
    </w:rPr>
  </w:style>
  <w:style w:type="character" w:customStyle="1" w:styleId="CommentSubjectChar">
    <w:name w:val="Comment Subject Char"/>
    <w:basedOn w:val="CommentTextChar"/>
    <w:link w:val="CommentSubject"/>
    <w:rsid w:val="00064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web/owadisp.show_document?p_id=10051&amp;p_table=STANDARDS" TargetMode="External"/><Relationship Id="rId13" Type="http://schemas.openxmlformats.org/officeDocument/2006/relationships/hyperlink" Target="http://www.osha.gov/pls/oshaweb/owadisp.show_document?p_table=INTERPRETATIONS&amp;p_id=215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sha.gov/pls/oshaweb/owadisp.show_document?p_id=10051&amp;p_table=STANDARDS" TargetMode="External"/><Relationship Id="rId17" Type="http://schemas.openxmlformats.org/officeDocument/2006/relationships/hyperlink" Target="mailto:unmcehs@unmc.edu?subject=Lab%20Ventilation" TargetMode="External"/><Relationship Id="rId2" Type="http://schemas.openxmlformats.org/officeDocument/2006/relationships/numbering" Target="numbering.xml"/><Relationship Id="rId16" Type="http://schemas.openxmlformats.org/officeDocument/2006/relationships/hyperlink" Target="mailto:biosafety@unm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biosafety/publications/bmbl5/" TargetMode="External"/><Relationship Id="rId5" Type="http://schemas.openxmlformats.org/officeDocument/2006/relationships/webSettings" Target="webSettings.xml"/><Relationship Id="rId15" Type="http://schemas.openxmlformats.org/officeDocument/2006/relationships/hyperlink" Target="http://www.cdc.gov/biosafety/publications/bmbl5/" TargetMode="External"/><Relationship Id="rId10" Type="http://schemas.openxmlformats.org/officeDocument/2006/relationships/hyperlink" Target="https://www.atcc.org/support/faqs/26699/Biosafety%20level%20for%20ATCC%20cultures-9.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sha.gov/laws-regs/standardinterpretations/1994-06-21" TargetMode="External"/><Relationship Id="rId14" Type="http://schemas.openxmlformats.org/officeDocument/2006/relationships/hyperlink" Target="https://www.atcc.org/support/faqs/26699/Biosafety%20level%20for%20ATCC%20cultures-9.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2909-881B-4071-BD75-831519B7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The Nebraska Medical Center</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Nebraska Medical Center</dc:creator>
  <cp:keywords/>
  <cp:lastModifiedBy>Le, DaiTrang N</cp:lastModifiedBy>
  <cp:revision>2</cp:revision>
  <cp:lastPrinted>2019-05-31T20:20:00Z</cp:lastPrinted>
  <dcterms:created xsi:type="dcterms:W3CDTF">2019-09-03T15:16:00Z</dcterms:created>
  <dcterms:modified xsi:type="dcterms:W3CDTF">2019-09-03T15:16:00Z</dcterms:modified>
</cp:coreProperties>
</file>